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117</w:t>
      </w:r>
      <w:r w:rsidR="00690EBC">
        <w:rPr>
          <w:rFonts w:ascii="Arial" w:hAnsi="Arial" w:cs="Arial"/>
          <w:b/>
          <w:sz w:val="22"/>
          <w:szCs w:val="22"/>
          <w:lang w:val="es-MX"/>
        </w:rPr>
        <w:t>.-</w:t>
      </w:r>
      <w:r w:rsidRPr="002B7E4F">
        <w:rPr>
          <w:rFonts w:ascii="Arial" w:hAnsi="Arial" w:cs="Arial"/>
          <w:b/>
          <w:sz w:val="22"/>
          <w:szCs w:val="22"/>
          <w:lang w:val="es-MX"/>
        </w:rPr>
        <w:t xml:space="preserve"> TABLEROS SECUNDARIOS DE VENTILACIÓN</w:t>
      </w:r>
    </w:p>
    <w:p w:rsidR="002B7E4F" w:rsidRPr="002B7E4F" w:rsidRDefault="002B7E4F" w:rsidP="002B7E4F">
      <w:pPr>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 los tableros secundarios de ventilación de estación, totalmente equipados para el  correcto funcionamiento de la instalación. Incluye los soportes correspondientes, latiguillos de conexión, cable de alimentación y parte proporcional de tubo metálico y elementos auxiliares.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7"/>
        </w:numPr>
        <w:rPr>
          <w:rFonts w:ascii="Arial" w:hAnsi="Arial" w:cs="Arial"/>
          <w:b/>
          <w:sz w:val="22"/>
          <w:szCs w:val="22"/>
        </w:rPr>
      </w:pPr>
      <w:bookmarkStart w:id="1" w:name="_Toc368069892"/>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tableros operarán en un sistema trifásico de 220 / 127 V, + / - 10 %; 60 Hz., + / - 1 Hz., tres fases, cuatro hilos.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los tableros necesarios para la alimentación de los equipos de ventilación de la estación de la estación. Cada uno de estos tableros se alimentará del tablero general de la estación P.</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Estos tableros serán inteligentes, con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w:t>
      </w:r>
      <w:proofErr w:type="spellStart"/>
      <w:r w:rsidRPr="002B7E4F">
        <w:rPr>
          <w:rFonts w:ascii="Arial" w:hAnsi="Arial" w:cs="Arial"/>
          <w:sz w:val="22"/>
          <w:szCs w:val="22"/>
        </w:rPr>
        <w:t>telemandados</w:t>
      </w:r>
      <w:proofErr w:type="spellEnd"/>
      <w:r w:rsidRPr="002B7E4F">
        <w:rPr>
          <w:rFonts w:ascii="Arial" w:hAnsi="Arial" w:cs="Arial"/>
          <w:sz w:val="22"/>
          <w:szCs w:val="22"/>
        </w:rPr>
        <w:t xml:space="preserve"> permitiendo su maniobra de forma remota a través del Telemando de Energía. Igualmente, dispondrán de los PLC necesarios para poder comunicar las señales con el Telemando de Instalaciones de Estaciones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la protección general del tablero y el embarrado. Las protecciones de los diferentes circuitos será responsabilidad del suministrador/instalador de los equipos de ventilación, por lo que no se encuentran definidas en este Proyecto.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la fabricación de los tableros se realizará el diseño detallado de cada uno de ellos, con las particularidades correspondientes en cada una de las estaciones. La construcción de los tableros eléctricos responderá a las siguientes premisas: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Máxima continuidad de servicio.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para el personal de operación y mantenimiento.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contra incendios.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montaje y conexionado.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operación, inspección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 los tableros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Frecuencia asignada: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Nivel de aislamiento: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Acorde a lo establecido en la norma UL891 (1000V durante 1min a 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Corriente admisible de corta duración (</w:t>
            </w:r>
            <w:proofErr w:type="spellStart"/>
            <w:r w:rsidRPr="002B7E4F">
              <w:rPr>
                <w:rFonts w:ascii="Arial" w:hAnsi="Arial" w:cs="Arial"/>
                <w:sz w:val="22"/>
                <w:szCs w:val="22"/>
              </w:rPr>
              <w:t>Ik</w:t>
            </w:r>
            <w:proofErr w:type="spellEnd"/>
            <w:r w:rsidRPr="002B7E4F">
              <w:rPr>
                <w:rFonts w:ascii="Arial" w:hAnsi="Arial" w:cs="Arial"/>
                <w:sz w:val="22"/>
                <w:szCs w:val="22"/>
              </w:rPr>
              <w:t>”):</w:t>
            </w:r>
          </w:p>
        </w:tc>
        <w:tc>
          <w:tcPr>
            <w:tcW w:w="5103" w:type="dxa"/>
            <w:vMerge w:val="restart"/>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Acorde a lo establecido en la norma UL891 y UL489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Valor de cresta del corriente admisible (</w:t>
            </w:r>
            <w:proofErr w:type="spellStart"/>
            <w:r w:rsidRPr="002B7E4F">
              <w:rPr>
                <w:rFonts w:ascii="Arial" w:hAnsi="Arial" w:cs="Arial"/>
                <w:sz w:val="22"/>
                <w:szCs w:val="22"/>
              </w:rPr>
              <w:t>Is</w:t>
            </w:r>
            <w:proofErr w:type="spellEnd"/>
            <w:r w:rsidRPr="002B7E4F">
              <w:rPr>
                <w:rFonts w:ascii="Arial" w:hAnsi="Arial" w:cs="Arial"/>
                <w:sz w:val="22"/>
                <w:szCs w:val="22"/>
              </w:rPr>
              <w:t>):</w:t>
            </w:r>
          </w:p>
        </w:tc>
        <w:tc>
          <w:tcPr>
            <w:tcW w:w="5103" w:type="dxa"/>
            <w:vMerge/>
            <w:shd w:val="clear" w:color="auto" w:fill="auto"/>
          </w:tcPr>
          <w:p w:rsidR="002B7E4F" w:rsidRPr="002B7E4F" w:rsidRDefault="002B7E4F" w:rsidP="002B7E4F">
            <w:pPr>
              <w:jc w:val="both"/>
              <w:rPr>
                <w:rFonts w:ascii="Arial" w:hAnsi="Arial" w:cs="Arial"/>
                <w:sz w:val="22"/>
                <w:szCs w:val="22"/>
              </w:rPr>
            </w:pP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ANSI 49</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 los tableros estarán construidos de secciones, soportadas en estructuras metálicas rígidas, ya sea </w:t>
      </w:r>
      <w:proofErr w:type="spellStart"/>
      <w:r w:rsidRPr="002B7E4F">
        <w:rPr>
          <w:rFonts w:ascii="Arial" w:hAnsi="Arial" w:cs="Arial"/>
          <w:sz w:val="22"/>
          <w:szCs w:val="22"/>
        </w:rPr>
        <w:t>autosoportadas</w:t>
      </w:r>
      <w:proofErr w:type="spellEnd"/>
      <w:r w:rsidRPr="002B7E4F">
        <w:rPr>
          <w:rFonts w:ascii="Arial" w:hAnsi="Arial" w:cs="Arial"/>
          <w:sz w:val="22"/>
          <w:szCs w:val="22"/>
        </w:rPr>
        <w:t xml:space="preserve"> o para fijación en muro, adecuadas para alojar todos los elementos de dichos tableros.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serán de construcción modular, para prever modificaciones y/o futuras ampliaciones,  con puerta de acceso en todo el frontal, provistos de doble cierre y cierre con llave. Su posición prevista es vertical, con posibilidad de alimentación por la parte superior e inferior.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Todas las uniones de gabinetes o estructuras estarán atornilladas formando un conjunto rígido y de esta manera asegurar la perfecta puesta a tierra de las masas metálicas y la </w:t>
      </w:r>
      <w:proofErr w:type="spellStart"/>
      <w:r w:rsidRPr="002B7E4F">
        <w:rPr>
          <w:rFonts w:ascii="Arial" w:hAnsi="Arial" w:cs="Arial"/>
          <w:sz w:val="22"/>
          <w:szCs w:val="22"/>
        </w:rPr>
        <w:t>equipotencialidad</w:t>
      </w:r>
      <w:proofErr w:type="spellEnd"/>
      <w:r w:rsidRPr="002B7E4F">
        <w:rPr>
          <w:rFonts w:ascii="Arial" w:hAnsi="Arial" w:cs="Arial"/>
          <w:sz w:val="22"/>
          <w:szCs w:val="22"/>
        </w:rPr>
        <w:t xml:space="preserve"> de todos sus componentes.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deben ser sometidos a un proceso de desengrase </w:t>
      </w:r>
      <w:proofErr w:type="spellStart"/>
      <w:r w:rsidRPr="002B7E4F">
        <w:rPr>
          <w:rFonts w:ascii="Arial" w:hAnsi="Arial" w:cs="Arial"/>
          <w:sz w:val="22"/>
          <w:szCs w:val="22"/>
        </w:rPr>
        <w:t>fosfatizado</w:t>
      </w:r>
      <w:proofErr w:type="spellEnd"/>
      <w:r w:rsidRPr="002B7E4F">
        <w:rPr>
          <w:rFonts w:ascii="Arial" w:hAnsi="Arial" w:cs="Arial"/>
          <w:sz w:val="22"/>
          <w:szCs w:val="22"/>
        </w:rPr>
        <w:t xml:space="preserve"> y </w:t>
      </w:r>
      <w:proofErr w:type="spellStart"/>
      <w:r w:rsidRPr="002B7E4F">
        <w:rPr>
          <w:rFonts w:ascii="Arial" w:hAnsi="Arial" w:cs="Arial"/>
          <w:sz w:val="22"/>
          <w:szCs w:val="22"/>
        </w:rPr>
        <w:t>pasivado</w:t>
      </w:r>
      <w:proofErr w:type="spellEnd"/>
      <w:r w:rsidRPr="002B7E4F">
        <w:rPr>
          <w:rFonts w:ascii="Arial" w:hAnsi="Arial" w:cs="Arial"/>
          <w:sz w:val="22"/>
          <w:szCs w:val="22"/>
        </w:rPr>
        <w:t xml:space="preserve"> por inmersión en caliente y terminación con pintura electrostática en polvo, de 60 micrones como mínimo.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estarán divididos funcionalmente para obtener los siguientes compartimentos: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Barras generales de distribución dispuestas verticalmente.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 general posicionado verticalmente en línea con las barras principales.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Interruptores de circuito dispuestos horizontalmente de forma perpendicular a las barras principales.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compartimentación anterior, salvo de barras generales, permitirá la inspección y manipulación de todos los elementos, estando el tablero en tensión y sin necesidad de dejar fuera de servicio las utilizaciones adyacentes.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 ejecución será con bastidores y plancha de acero galvanizada de primera calidad (grosores respectivos de 1,5 y 2mm). Dispondrán de placa de montaje canteada de 3mm </w:t>
      </w:r>
      <w:r w:rsidRPr="002B7E4F">
        <w:rPr>
          <w:rFonts w:ascii="Arial" w:hAnsi="Arial" w:cs="Arial"/>
          <w:sz w:val="22"/>
          <w:szCs w:val="22"/>
        </w:rPr>
        <w:lastRenderedPageBreak/>
        <w:t xml:space="preserve">de grosor. El conjunto estará tratado con posterioridad al decapado con tres capas de imprimación </w:t>
      </w:r>
      <w:proofErr w:type="spellStart"/>
      <w:r w:rsidRPr="002B7E4F">
        <w:rPr>
          <w:rFonts w:ascii="Arial" w:hAnsi="Arial" w:cs="Arial"/>
          <w:sz w:val="22"/>
          <w:szCs w:val="22"/>
        </w:rPr>
        <w:t>fosfatante</w:t>
      </w:r>
      <w:proofErr w:type="spellEnd"/>
      <w:r w:rsidRPr="002B7E4F">
        <w:rPr>
          <w:rFonts w:ascii="Arial" w:hAnsi="Arial" w:cs="Arial"/>
          <w:sz w:val="22"/>
          <w:szCs w:val="22"/>
        </w:rPr>
        <w:t xml:space="preserve"> y dos manos de pintura </w:t>
      </w:r>
      <w:proofErr w:type="gramStart"/>
      <w:r w:rsidRPr="002B7E4F">
        <w:rPr>
          <w:rFonts w:ascii="Arial" w:hAnsi="Arial" w:cs="Arial"/>
          <w:sz w:val="22"/>
          <w:szCs w:val="22"/>
        </w:rPr>
        <w:t>anticorrosivo</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masas metálicas del tablero estarán eléctricamente unidas entre sí y al conductor principal de conexión a tierra. Las puertas de acceso, deben conectarse a la estructura por medio de mallas trenzadas de sección no inferior a 6 mm².</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deben contar con una barra de puesta a tierra general. Dicha barra de puesta a tierra será de cobre electrolítico de sección no inferior a 250 mm² para los tableros generales de baja tensión.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Con el propósito de evitar la corrosión por el par Galvánico, en las barras de cobre y todos los puntos de conexión localizados dentro de los tableros se deben diseñar para admitir conductores de aluminio de los alimentadores principales y los circuitos, secundarios o de respaldo.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facilitar la posible inspección interior del tablero, todos los componentes eléctricos están fácilmente accesibles por el frente mediante puertas </w:t>
      </w:r>
      <w:proofErr w:type="spellStart"/>
      <w:r w:rsidRPr="002B7E4F">
        <w:rPr>
          <w:rFonts w:ascii="Arial" w:hAnsi="Arial" w:cs="Arial"/>
          <w:sz w:val="22"/>
          <w:szCs w:val="22"/>
        </w:rPr>
        <w:t>enbisagradas</w:t>
      </w:r>
      <w:proofErr w:type="spellEnd"/>
      <w:r w:rsidRPr="002B7E4F">
        <w:rPr>
          <w:rFonts w:ascii="Arial" w:hAnsi="Arial" w:cs="Arial"/>
          <w:sz w:val="22"/>
          <w:szCs w:val="22"/>
        </w:rPr>
        <w:t xml:space="preserve"> que permitirán una apertura mínima de 90°.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se montarán sobre guías o placas y fijados sobre travesaños específicos para sujeción.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 caso de los tableros cuya altura es superior a 1800 mm los mismos estarán provistos de un perfil estructural para permitir el anclaje al piso mediante taquetes de expansión o elementos similares.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instalar ganchos desmontables para </w:t>
      </w:r>
      <w:proofErr w:type="spellStart"/>
      <w:r w:rsidRPr="002B7E4F">
        <w:rPr>
          <w:rFonts w:ascii="Arial" w:hAnsi="Arial" w:cs="Arial"/>
          <w:sz w:val="22"/>
          <w:szCs w:val="22"/>
        </w:rPr>
        <w:t>izaje</w:t>
      </w:r>
      <w:proofErr w:type="spellEnd"/>
      <w:r w:rsidRPr="002B7E4F">
        <w:rPr>
          <w:rFonts w:ascii="Arial" w:hAnsi="Arial" w:cs="Arial"/>
          <w:sz w:val="22"/>
          <w:szCs w:val="22"/>
        </w:rPr>
        <w:t>, en la parte superior del conjunto.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ventilación es por convección natural permitiendo el funcionamiento de los componentes de maniobra y control dentro de los límites de temperatura recomendados por las normas. Dispondrá de aperturas de ventilación tanto en su parte inferior como superior a fin de procurar una eficaz disipación del calor interno. Estas aperturas estarán normalizadas para que permitan la protección contra proyecciones de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instrumentos de medición, lámparas de señalización, elementos de comando y control, se montarán sobre paneles frontales, o puertas </w:t>
      </w:r>
      <w:proofErr w:type="spellStart"/>
      <w:r w:rsidRPr="002B7E4F">
        <w:rPr>
          <w:rFonts w:ascii="Arial" w:hAnsi="Arial" w:cs="Arial"/>
          <w:sz w:val="22"/>
          <w:szCs w:val="22"/>
        </w:rPr>
        <w:t>embisagradas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puerta de acceso deberá preverse con un cierre estanco y un ajuste perfecto en todo su perímetro. Dicha puerta deberá mecanizarse para ubicar los componentes grafiados en </w:t>
      </w:r>
      <w:r w:rsidRPr="002B7E4F">
        <w:rPr>
          <w:rFonts w:ascii="Arial" w:hAnsi="Arial" w:cs="Arial"/>
          <w:sz w:val="22"/>
          <w:szCs w:val="22"/>
        </w:rPr>
        <w:lastRenderedPageBreak/>
        <w:t xml:space="preserve">los esquemas unifilares, cableándose de manera que se pueda producir una apertura total.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w:t>
      </w:r>
      <w:proofErr w:type="spellStart"/>
      <w:r w:rsidRPr="002B7E4F">
        <w:rPr>
          <w:rFonts w:ascii="Arial" w:hAnsi="Arial" w:cs="Arial"/>
          <w:sz w:val="22"/>
          <w:szCs w:val="22"/>
        </w:rPr>
        <w:t>bornas</w:t>
      </w:r>
      <w:proofErr w:type="spellEnd"/>
      <w:r w:rsidRPr="002B7E4F">
        <w:rPr>
          <w:rFonts w:ascii="Arial" w:hAnsi="Arial" w:cs="Arial"/>
          <w:sz w:val="22"/>
          <w:szCs w:val="22"/>
        </w:rPr>
        <w:t xml:space="preserve"> de conexión de los cables de fuerza y control estarán convenientemente separadas.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serán de las características adecuadas para operar en un sistema trifásico, tres fases, cuatro hilos, 220/127 VCA, 60 Hz. y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xml:space="preserve"> normal, simétrica de 65,000 A, a 240 VCA.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electromagnéticos, deberán ser del tipo montaje removible, equipados con cámaras de arqueo individuales y contactos de aleación plata y tungsteno, con mecanismos de operación de libre disparo, cierre y apertura rápida, equipados con 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barras a utilizar en los tableros deben ser de cobre electrolítico de pureza no inferior a 99,9% y de alta conductividad, adecuadas para servicio continuo y deberán tolerar sin daño las solicitudes térmicas y mecánicas debidas a los efectos del cortocircuito máximo especificado.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Serán pintadas y plateadas en todas las superficies de contacto, las cuales soportarán la variación térmica y dinámica originada por las corrientes nominal y de cortocircuito. Dichas barras son instaladas sobre aisladores. Las barras vendrán ensambladas de fábrica en el interior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llevarán en toda su longitud taladros roscados que permitan una fácil conexión de los equipos auxiliares que se vayan a instalar en el cuadro.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deben identificarse según la fase a la cual corresponde siendo la secuencia de fases A. B. C. N, T. de adelante hacia atrás, de arriba hacia abajo y de izquierda a derecha según corresponda.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sección de las barras de neutro, debe ser como mínimo de un 50 % de la sección de las barras principales.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uniones de barras se realizan con tornillos, roldanas planas y roldanas de 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El amperaje nominal de las barras principales irá desde 125A hasta los 800A en función de las necesidades eléctricas del tablero. La alimentación de las barras principales podrá efectuarse bien desde la parte superior e inferior del talero.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principales se efectuará mediante pletinas de cobre electrolítico en línea con las barras principales.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secundarios se efectuará de forma perpendicular a las barras principales mediante dedos conectores de cobre estañado. Las barras principales permitirán la conexión de interruptores de circuito de hasta 65 </w:t>
      </w:r>
      <w:proofErr w:type="spellStart"/>
      <w:r w:rsidRPr="002B7E4F">
        <w:rPr>
          <w:rFonts w:ascii="Arial" w:hAnsi="Arial" w:cs="Arial"/>
          <w:sz w:val="22"/>
          <w:szCs w:val="22"/>
        </w:rPr>
        <w:t>kA</w:t>
      </w:r>
      <w:proofErr w:type="spellEnd"/>
      <w:r w:rsidRPr="002B7E4F">
        <w:rPr>
          <w:rFonts w:ascii="Arial" w:hAnsi="Arial" w:cs="Arial"/>
          <w:sz w:val="22"/>
          <w:szCs w:val="22"/>
        </w:rPr>
        <w:t xml:space="preserve"> de corriente máxima de cortocircuito para tensiones de 220/127 V.</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aisladores a utilizar para la fijación de las barras deben ser de resina epoxi del tipo interior, sin fisuras ni excoriaciones. Su carga de rotura, estará acorde con el esfuerzo electrodinámico que resulte de la respectiva memoria de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a utilizar en el cableado interno serán flexibles de cobre con aislación de PVC VN2000 </w:t>
      </w:r>
      <w:proofErr w:type="spellStart"/>
      <w:r w:rsidRPr="002B7E4F">
        <w:rPr>
          <w:rFonts w:ascii="Arial" w:hAnsi="Arial" w:cs="Arial"/>
          <w:sz w:val="22"/>
          <w:szCs w:val="22"/>
        </w:rPr>
        <w:t>antillama</w:t>
      </w:r>
      <w:proofErr w:type="spellEnd"/>
      <w:r w:rsidRPr="002B7E4F">
        <w:rPr>
          <w:rFonts w:ascii="Arial" w:hAnsi="Arial" w:cs="Arial"/>
          <w:sz w:val="22"/>
          <w:szCs w:val="22"/>
        </w:rPr>
        <w:t xml:space="preserve"> deslizante, para 600 V, y de calibre adecuado a la corriente que conducirá. Deberá estar provisto de terminales en ambos extremos, numeración inequívoca en ambos extremos, utilizando la codificación de colores reglamentarios para cada conductor polar, neutro y de protección.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cableado interior se alojará en canaletas de PVC o similar, previamente fijadas con cremallera de nylon.</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Para el conexionado de los conductores de protección se dispondrá de una pletina de cobre electrolítico aislada del tablero. Esta pletina se podrá instalar en todas las esquinas del tablero.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voltímetros y amperímetros serán del tipo empotrado en caja, con dimensiones mínimas de 90 x 90mm, escala a 90º y tendrán ajuste de cero.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todos los instrumentos se marcará con una línea roja el valor correspondiente a la intensidad nominal.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cuadro, se dispondrá de rótulos con la identificación del tablero y/o de un esquema sinóptico funcional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cada columna para una fácil y rápida identificación de cada utilización.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xml:space="preserve">, perteneciente al Proyecto de Sistema de Telecomunicaciones, y así comunicarse con el Mando y Control de Estaciones (TES). Por tanto, dicho cableado vendrá definido por las características técnicas del subsistema de Red de Nivel Físico que se encuentra en Proyecto de Sistema de Telecomunicaciones. Se incluirá la parte </w:t>
      </w:r>
      <w:r w:rsidRPr="002B7E4F">
        <w:rPr>
          <w:rFonts w:ascii="Arial" w:hAnsi="Arial" w:cs="Arial"/>
          <w:sz w:val="22"/>
          <w:szCs w:val="22"/>
        </w:rPr>
        <w:lastRenderedPageBreak/>
        <w:t>proporcional de canalización necesaria así como los terminales y elementos auxiliares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NMX-J118-1 Tablero de alumbrado y distribución de fuerza en baja tensión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UL-67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(Tableros de distribución).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CSA C22.2 NO.29.1989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and </w:t>
      </w:r>
      <w:proofErr w:type="spellStart"/>
      <w:r w:rsidRPr="002B7E4F">
        <w:rPr>
          <w:rFonts w:ascii="Arial" w:hAnsi="Arial" w:cs="Arial"/>
          <w:sz w:val="22"/>
          <w:szCs w:val="22"/>
        </w:rPr>
        <w:t>enclosed</w:t>
      </w:r>
      <w:proofErr w:type="spellEnd"/>
      <w:r w:rsidRPr="002B7E4F">
        <w:rPr>
          <w:rFonts w:ascii="Arial" w:hAnsi="Arial" w:cs="Arial"/>
          <w:sz w:val="22"/>
          <w:szCs w:val="22"/>
        </w:rPr>
        <w:t xml:space="preserve">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 de distribución y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462F48">
      <w:pPr>
        <w:pStyle w:val="TITULO-3"/>
        <w:numPr>
          <w:ilvl w:val="2"/>
          <w:numId w:val="47"/>
        </w:numPr>
        <w:rPr>
          <w:rFonts w:ascii="Arial" w:hAnsi="Arial" w:cs="Arial"/>
          <w:b/>
          <w:sz w:val="22"/>
          <w:szCs w:val="22"/>
        </w:rPr>
      </w:pPr>
      <w:bookmarkStart w:id="2" w:name="_Toc368069893"/>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 instalarán dentro de las salas de ventilación de estación, según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tableros se tendrá en cuenta las condiciones del local,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con conocimientos plenos de la instalación, evitando que personas ajenas a la operación de los equipos tengan acceso a estos.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highlight w:val="yellow"/>
        </w:rPr>
      </w:pPr>
      <w:r w:rsidRPr="002B7E4F">
        <w:rPr>
          <w:rFonts w:ascii="Arial" w:hAnsi="Arial" w:cs="Arial"/>
          <w:sz w:val="22"/>
          <w:szCs w:val="22"/>
        </w:rPr>
        <w:t xml:space="preserve">En la instalación de los tableros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todo el local, evitando que las canalizaciones estén soportadas en los mismos tableros. El arreglo de los tableros u otros elementos que se instalan en los </w:t>
      </w:r>
      <w:r w:rsidRPr="002B7E4F">
        <w:rPr>
          <w:rFonts w:ascii="Arial" w:hAnsi="Arial" w:cs="Arial"/>
          <w:sz w:val="22"/>
          <w:szCs w:val="22"/>
        </w:rPr>
        <w:lastRenderedPageBreak/>
        <w:t>locales técnicos debe ser tal que cuando sea necesario retirar algún equipo, no se requiera realizar maniobras adicionales en los otros equipos ubicados en dicho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barras de distribución, soporte de barras y demás elementos de soporte y sujeción, tanto desde el punto de vista del calentamiento como de esfuerzo dinámico para la potencia de cortocircuito establecida en su respectivo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 unifilar definitivo de los tableros.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Esquema </w:t>
      </w:r>
      <w:proofErr w:type="spellStart"/>
      <w:r w:rsidRPr="002B7E4F">
        <w:rPr>
          <w:rFonts w:ascii="Arial" w:hAnsi="Arial" w:cs="Arial"/>
          <w:sz w:val="22"/>
          <w:szCs w:val="22"/>
        </w:rPr>
        <w:t>tri</w:t>
      </w:r>
      <w:proofErr w:type="spellEnd"/>
      <w:r w:rsidRPr="002B7E4F">
        <w:rPr>
          <w:rFonts w:ascii="Arial" w:hAnsi="Arial" w:cs="Arial"/>
          <w:sz w:val="22"/>
          <w:szCs w:val="22"/>
        </w:rPr>
        <w:t>/</w:t>
      </w:r>
      <w:proofErr w:type="spellStart"/>
      <w:r w:rsidRPr="002B7E4F">
        <w:rPr>
          <w:rFonts w:ascii="Arial" w:hAnsi="Arial" w:cs="Arial"/>
          <w:sz w:val="22"/>
          <w:szCs w:val="22"/>
        </w:rPr>
        <w:t>tetrafilar</w:t>
      </w:r>
      <w:proofErr w:type="spellEnd"/>
      <w:r w:rsidRPr="002B7E4F">
        <w:rPr>
          <w:rFonts w:ascii="Arial" w:hAnsi="Arial" w:cs="Arial"/>
          <w:sz w:val="22"/>
          <w:szCs w:val="22"/>
        </w:rPr>
        <w:t xml:space="preserve"> con indicación de sección de barras, cables, borneras, etc.</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funcionales: con enclavamiento, señales de alarma, lógica de PLC (si se solicita).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de cableado y borneras.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Planos de herrería y dimensionado con detalles constructivos (vistas, cortes y detalles).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Memoria de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Lista de leyendas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construcción de los tableros.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tableros generales, secundarios o de respaldo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tablero.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tableros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7"/>
        </w:numPr>
        <w:rPr>
          <w:rFonts w:ascii="Arial" w:hAnsi="Arial" w:cs="Arial"/>
          <w:b/>
          <w:sz w:val="22"/>
          <w:szCs w:val="22"/>
        </w:rPr>
      </w:pPr>
      <w:bookmarkStart w:id="3" w:name="_Toc368069894"/>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7"/>
        </w:numPr>
        <w:rPr>
          <w:rFonts w:ascii="Arial" w:hAnsi="Arial" w:cs="Arial"/>
          <w:b/>
          <w:sz w:val="22"/>
          <w:szCs w:val="22"/>
        </w:rPr>
      </w:pPr>
      <w:bookmarkStart w:id="4" w:name="_Toc368069895"/>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 del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Verificación de los sistemas de protección y continuidad eléctrica de los circuitos de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valores en el equipo de medición.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Ausencia de ruidos y vibraciones.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950"/>
        <w:gridCol w:w="3091"/>
      </w:tblGrid>
      <w:tr w:rsidR="002B7E4F" w:rsidRPr="002B7E4F" w:rsidTr="002B7E4F">
        <w:trPr>
          <w:cantSplit/>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Cotejo de planos aprobados y tablero construido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Cableado conforme a plano de diagrama unifilar</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Continuidad mecánica y eléctrica entre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Conexión a tierra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lastRenderedPageBreak/>
              <w:t>Trensillas</w:t>
            </w:r>
            <w:proofErr w:type="spellEnd"/>
            <w:r w:rsidRPr="002B7E4F">
              <w:rPr>
                <w:rFonts w:ascii="Arial" w:hAnsi="Arial" w:cs="Arial"/>
                <w:sz w:val="22"/>
                <w:szCs w:val="22"/>
              </w:rPr>
              <w:t xml:space="preserve"> flexibles en puertas para continuidad a tierra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aprietes entre conductores e interruptores y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Apriete entre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con carga de todo el conjunto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acuerdo a proyecto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proyecto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correcta de equipo de medición</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Comunicación para mando y control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local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luces piloto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Encienden todas las luces de acuerdo a proyecto y nomenclatura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encienden todas las luces de acuerdo a proyecto y nomenclatura</w:t>
            </w:r>
          </w:p>
        </w:tc>
      </w:tr>
      <w:tr w:rsidR="002B7E4F" w:rsidRPr="002B7E4F" w:rsidTr="002B7E4F">
        <w:trPr>
          <w:cantSplit/>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Selector de operación local o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Correcta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Incorrecta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7"/>
        </w:numPr>
        <w:rPr>
          <w:rFonts w:ascii="Arial" w:hAnsi="Arial" w:cs="Arial"/>
          <w:b/>
          <w:sz w:val="22"/>
          <w:szCs w:val="22"/>
        </w:rPr>
      </w:pPr>
      <w:bookmarkStart w:id="5" w:name="_Toc368069896"/>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b/>
          <w:sz w:val="22"/>
          <w:szCs w:val="22"/>
        </w:rPr>
      </w:pP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64A36">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A36"/>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A738F-6DEE-4AC7-A53A-C95456E2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2879</Words>
  <Characters>15837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2014-04-10T22:38:00Z</dcterms:created>
  <dcterms:modified xsi:type="dcterms:W3CDTF">2014-04-10T22:38:00Z</dcterms:modified>
</cp:coreProperties>
</file>